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1577" w14:textId="65E01493" w:rsidR="000F3189" w:rsidRDefault="00625EE1" w:rsidP="00625EE1">
      <w:pPr>
        <w:jc w:val="center"/>
        <w:rPr>
          <w:b/>
          <w:bCs/>
        </w:rPr>
      </w:pPr>
      <w:r>
        <w:rPr>
          <w:b/>
          <w:bCs/>
        </w:rPr>
        <w:t xml:space="preserve">ASCC Arts and Humanities 1 Panel </w:t>
      </w:r>
    </w:p>
    <w:p w14:paraId="60823AF8" w14:textId="1916BD0A" w:rsidR="00625EE1" w:rsidRDefault="00DB6986" w:rsidP="00625EE1">
      <w:pPr>
        <w:jc w:val="center"/>
      </w:pPr>
      <w:r>
        <w:t>A</w:t>
      </w:r>
      <w:r w:rsidR="00B910C3">
        <w:t xml:space="preserve">pproved </w:t>
      </w:r>
      <w:r w:rsidR="00625EE1">
        <w:t>Minutes</w:t>
      </w:r>
    </w:p>
    <w:p w14:paraId="6989F485" w14:textId="0E41F5D1" w:rsidR="00625EE1" w:rsidRDefault="00625EE1" w:rsidP="00625EE1">
      <w:r>
        <w:t>Wednesday, January 18</w:t>
      </w:r>
      <w:r w:rsidRPr="00625EE1">
        <w:rPr>
          <w:vertAlign w:val="superscript"/>
        </w:rPr>
        <w:t>th</w:t>
      </w:r>
      <w:r>
        <w:t xml:space="preserve">, </w:t>
      </w:r>
      <w:proofErr w:type="gramStart"/>
      <w:r>
        <w:t>2023</w:t>
      </w:r>
      <w:proofErr w:type="gramEnd"/>
      <w:r>
        <w:tab/>
      </w:r>
      <w:r>
        <w:tab/>
      </w:r>
      <w:r>
        <w:tab/>
      </w:r>
      <w:r>
        <w:tab/>
      </w:r>
      <w:r>
        <w:tab/>
      </w:r>
      <w:r>
        <w:tab/>
      </w:r>
      <w:r>
        <w:tab/>
        <w:t xml:space="preserve">      10:30AM – 12:00PM</w:t>
      </w:r>
    </w:p>
    <w:p w14:paraId="137FFAA4" w14:textId="5ACDB64C" w:rsidR="00625EE1" w:rsidRDefault="00625EE1" w:rsidP="00625EE1">
      <w:proofErr w:type="spellStart"/>
      <w:r>
        <w:t>CarmenZoom</w:t>
      </w:r>
      <w:proofErr w:type="spellEnd"/>
    </w:p>
    <w:p w14:paraId="20D75C0D" w14:textId="00F31B6B" w:rsidR="00625EE1" w:rsidRDefault="00625EE1" w:rsidP="00625EE1"/>
    <w:p w14:paraId="096F904C" w14:textId="0500A066" w:rsidR="00625EE1" w:rsidRDefault="00625EE1" w:rsidP="00625EE1">
      <w:r>
        <w:rPr>
          <w:b/>
          <w:bCs/>
        </w:rPr>
        <w:t>Attendees</w:t>
      </w:r>
      <w:r>
        <w:t>: Bitters, Blackburn, Hilty, Koehnlein, Podalsky, Staley, Vankeerbergen</w:t>
      </w:r>
    </w:p>
    <w:p w14:paraId="04161A49" w14:textId="5EFB22F5" w:rsidR="00625EE1" w:rsidRDefault="00625EE1" w:rsidP="00625EE1"/>
    <w:p w14:paraId="6378F2EF" w14:textId="7A50DA28" w:rsidR="00625EE1" w:rsidRDefault="00625EE1" w:rsidP="00625EE1">
      <w:pPr>
        <w:pStyle w:val="ListParagraph"/>
        <w:numPr>
          <w:ilvl w:val="0"/>
          <w:numId w:val="1"/>
        </w:numPr>
      </w:pPr>
      <w:r>
        <w:t>Approval of 12/07/2022 Minutes</w:t>
      </w:r>
    </w:p>
    <w:p w14:paraId="0ACE348F" w14:textId="25122E5C" w:rsidR="00625EE1" w:rsidRDefault="00625EE1" w:rsidP="00625EE1">
      <w:pPr>
        <w:pStyle w:val="ListParagraph"/>
        <w:numPr>
          <w:ilvl w:val="1"/>
          <w:numId w:val="1"/>
        </w:numPr>
      </w:pPr>
      <w:r>
        <w:t xml:space="preserve">Podalsky, Blackburn, </w:t>
      </w:r>
      <w:r>
        <w:rPr>
          <w:b/>
          <w:bCs/>
        </w:rPr>
        <w:t xml:space="preserve">approved </w:t>
      </w:r>
      <w:r>
        <w:t xml:space="preserve">with </w:t>
      </w:r>
      <w:r>
        <w:rPr>
          <w:b/>
          <w:bCs/>
        </w:rPr>
        <w:t xml:space="preserve">one abstention </w:t>
      </w:r>
    </w:p>
    <w:p w14:paraId="45893B5D" w14:textId="66042F60" w:rsidR="00625EE1" w:rsidRDefault="00625EE1" w:rsidP="00625EE1">
      <w:pPr>
        <w:pStyle w:val="ListParagraph"/>
        <w:numPr>
          <w:ilvl w:val="0"/>
          <w:numId w:val="1"/>
        </w:numPr>
      </w:pPr>
      <w:r>
        <w:t>Theatre 58</w:t>
      </w:r>
      <w:r w:rsidR="00865D2C">
        <w:t>4</w:t>
      </w:r>
      <w:r>
        <w:t xml:space="preserve">0 (new course) </w:t>
      </w:r>
    </w:p>
    <w:p w14:paraId="2992548E" w14:textId="7C9EAB94" w:rsidR="00625EE1" w:rsidRDefault="00625EE1" w:rsidP="00625EE1">
      <w:pPr>
        <w:pStyle w:val="ListParagraph"/>
        <w:numPr>
          <w:ilvl w:val="1"/>
          <w:numId w:val="1"/>
        </w:numPr>
      </w:pPr>
      <w:r>
        <w:t xml:space="preserve">After holding a robust discussion surrounding the course assignments and if the rigor of the course was equivalent to that of a typical 5000-level course in the Arts and Humanities, the Panel has decided to table this course until they can speak with a representative from the Department of Theatre, Film, and Media Arts. </w:t>
      </w:r>
      <w:r w:rsidR="005D257C">
        <w:t xml:space="preserve">They will invite this representative to the next scheduled Arts and Humanities 1 Panel meeting. </w:t>
      </w:r>
    </w:p>
    <w:p w14:paraId="0578E8E7" w14:textId="21B8E491" w:rsidR="00625EE1" w:rsidRDefault="00625EE1" w:rsidP="00625EE1">
      <w:pPr>
        <w:pStyle w:val="ListParagraph"/>
        <w:numPr>
          <w:ilvl w:val="1"/>
          <w:numId w:val="1"/>
        </w:numPr>
      </w:pPr>
      <w:r>
        <w:rPr>
          <w:b/>
          <w:bCs/>
        </w:rPr>
        <w:t>Tabled</w:t>
      </w:r>
    </w:p>
    <w:p w14:paraId="4D254201" w14:textId="09F94DA6" w:rsidR="00625EE1" w:rsidRDefault="00625EE1" w:rsidP="00625EE1">
      <w:pPr>
        <w:pStyle w:val="ListParagraph"/>
        <w:numPr>
          <w:ilvl w:val="0"/>
          <w:numId w:val="1"/>
        </w:numPr>
      </w:pPr>
      <w:r>
        <w:t xml:space="preserve">Theatre 5798.03 (new course requesting GEN Theme: Traditions, Cultures, and Transformations with High-Impact Practice: Education Abroad and Away) </w:t>
      </w:r>
    </w:p>
    <w:p w14:paraId="3C248CB5" w14:textId="100CB2FC" w:rsidR="00625EE1" w:rsidRPr="00625EE1" w:rsidRDefault="00625EE1" w:rsidP="00625EE1">
      <w:pPr>
        <w:pStyle w:val="ListParagraph"/>
        <w:numPr>
          <w:ilvl w:val="1"/>
          <w:numId w:val="1"/>
        </w:numPr>
      </w:pPr>
      <w:r>
        <w:rPr>
          <w:b/>
          <w:bCs/>
        </w:rPr>
        <w:t xml:space="preserve">The Panel is unable to discern how the provided credit hour rationale is supported by the course calendar. </w:t>
      </w:r>
      <w:r w:rsidRPr="00B300E8">
        <w:rPr>
          <w:b/>
          <w:bCs/>
          <w:i/>
          <w:iCs/>
        </w:rPr>
        <w:t>For example</w:t>
      </w:r>
      <w:r>
        <w:rPr>
          <w:b/>
          <w:bCs/>
        </w:rPr>
        <w:t xml:space="preserve">, beginning in week 4 (the first week when students are studying in London), the provided rationale lists that there will be 3 hours of formalized instruction. However, </w:t>
      </w:r>
      <w:proofErr w:type="gramStart"/>
      <w:r>
        <w:rPr>
          <w:b/>
          <w:bCs/>
        </w:rPr>
        <w:t>this 3 hours of formalized instruction</w:t>
      </w:r>
      <w:proofErr w:type="gramEnd"/>
      <w:r>
        <w:rPr>
          <w:b/>
          <w:bCs/>
        </w:rPr>
        <w:t xml:space="preserve"> does not make an appearance in the provided weekly schedule (as found on pages 4-7 of the course syllabus). </w:t>
      </w:r>
      <w:r w:rsidR="00E62CF3">
        <w:rPr>
          <w:b/>
          <w:bCs/>
        </w:rPr>
        <w:t xml:space="preserve">There are several other places where it is difficult to see the correlation between the credit hour rationale and the schedule in the syllabus. </w:t>
      </w:r>
      <w:r>
        <w:rPr>
          <w:b/>
          <w:bCs/>
        </w:rPr>
        <w:t>They ask that the course schedule found within the course syllabus more explicitly and directly list out how and where students will be receiving all the hours of formalized instruction and structured/guided educational experiences to justify the 5-credit hours being asked for</w:t>
      </w:r>
      <w:r w:rsidR="005D257C">
        <w:rPr>
          <w:b/>
          <w:bCs/>
        </w:rPr>
        <w:t xml:space="preserve"> in the credit hour rationale. </w:t>
      </w:r>
    </w:p>
    <w:p w14:paraId="44787D35" w14:textId="54E18195" w:rsidR="00B910C3" w:rsidRPr="00B300E8" w:rsidRDefault="00625EE1" w:rsidP="00B300E8">
      <w:pPr>
        <w:pStyle w:val="ListParagraph"/>
        <w:numPr>
          <w:ilvl w:val="1"/>
          <w:numId w:val="1"/>
        </w:numPr>
      </w:pPr>
      <w:r>
        <w:rPr>
          <w:b/>
          <w:bCs/>
        </w:rPr>
        <w:t>The Panel asks that</w:t>
      </w:r>
      <w:r w:rsidR="00B769B8">
        <w:rPr>
          <w:b/>
          <w:bCs/>
        </w:rPr>
        <w:t xml:space="preserve"> the “intercultural competence” description in the credit hour rationale be removed, as the course does not appear to be having any intercultural competence discussions and is a holdover from the </w:t>
      </w:r>
      <w:r w:rsidR="00E62CF3">
        <w:rPr>
          <w:b/>
          <w:bCs/>
        </w:rPr>
        <w:t xml:space="preserve">sample </w:t>
      </w:r>
      <w:r w:rsidR="00B769B8">
        <w:rPr>
          <w:b/>
          <w:bCs/>
        </w:rPr>
        <w:t>credit hour rationale</w:t>
      </w:r>
      <w:r w:rsidR="00E62CF3">
        <w:rPr>
          <w:b/>
          <w:bCs/>
        </w:rPr>
        <w:t xml:space="preserve"> for a German course that was provided to the department</w:t>
      </w:r>
      <w:r w:rsidR="00B769B8">
        <w:rPr>
          <w:b/>
          <w:bCs/>
        </w:rPr>
        <w:t>.</w:t>
      </w:r>
      <w:r w:rsidR="00E62CF3">
        <w:rPr>
          <w:b/>
          <w:bCs/>
        </w:rPr>
        <w:t xml:space="preserve"> In other words, in this </w:t>
      </w:r>
      <w:proofErr w:type="gramStart"/>
      <w:r w:rsidR="00E62CF3">
        <w:rPr>
          <w:b/>
          <w:bCs/>
        </w:rPr>
        <w:t>particular course</w:t>
      </w:r>
      <w:proofErr w:type="gramEnd"/>
      <w:r w:rsidR="00E62CF3">
        <w:rPr>
          <w:b/>
          <w:bCs/>
        </w:rPr>
        <w:t>, there is no need for a line in the credit rationale table that pertains to both "formalized instruction and intercultural competence discussions”. The second line should be incorporated in the first line.</w:t>
      </w:r>
    </w:p>
    <w:p w14:paraId="6A350978" w14:textId="6CBA7234" w:rsidR="00B300E8" w:rsidRPr="00B769B8" w:rsidRDefault="00B300E8" w:rsidP="00B300E8">
      <w:pPr>
        <w:pStyle w:val="ListParagraph"/>
        <w:numPr>
          <w:ilvl w:val="2"/>
          <w:numId w:val="1"/>
        </w:numPr>
      </w:pPr>
      <w:r>
        <w:rPr>
          <w:b/>
          <w:bCs/>
        </w:rPr>
        <w:t xml:space="preserve">Additionally, it is recommended that the department reach out to ASC Assistant Dean for Curriculum, Bernadette Vankeerbergen.1, for assistance with making the requested changes. Bernadette has worked with other units </w:t>
      </w:r>
      <w:r>
        <w:rPr>
          <w:b/>
          <w:bCs/>
        </w:rPr>
        <w:lastRenderedPageBreak/>
        <w:t xml:space="preserve">in ensuring that credit hour rationales for study abroad courses be reflective of hours being spent within the course. </w:t>
      </w:r>
    </w:p>
    <w:p w14:paraId="67DD02EA" w14:textId="7918D4BE" w:rsidR="00B769B8" w:rsidRPr="00B769B8" w:rsidRDefault="00B769B8" w:rsidP="00625EE1">
      <w:pPr>
        <w:pStyle w:val="ListParagraph"/>
        <w:numPr>
          <w:ilvl w:val="1"/>
          <w:numId w:val="1"/>
        </w:numPr>
      </w:pPr>
      <w:r>
        <w:rPr>
          <w:b/>
          <w:bCs/>
        </w:rPr>
        <w:t xml:space="preserve">The Panel asks that the GEN Goals and ELOs be corrected on pages 1 and 2 of the course </w:t>
      </w:r>
      <w:proofErr w:type="gramStart"/>
      <w:r>
        <w:rPr>
          <w:b/>
          <w:bCs/>
        </w:rPr>
        <w:t>syllabus</w:t>
      </w:r>
      <w:proofErr w:type="gramEnd"/>
      <w:r>
        <w:rPr>
          <w:b/>
          <w:bCs/>
        </w:rPr>
        <w:t xml:space="preserve">, as currently some of the ELOs are incorrect (for example, ELO 1.1 is not the complete ELO) and all of the GEN Goals are missing. The GEN Goals and ELOs can be found in an easy to copy-and-paste format on the ASC Curriculum and Assessment Services website at: </w:t>
      </w:r>
      <w:hyperlink r:id="rId5" w:history="1">
        <w:r w:rsidRPr="00CD5780">
          <w:rPr>
            <w:rStyle w:val="Hyperlink"/>
            <w:b/>
            <w:bCs/>
          </w:rPr>
          <w:t>https://asccas.osu.edu/new-general-education-gen-goals-and-elos</w:t>
        </w:r>
      </w:hyperlink>
      <w:r>
        <w:rPr>
          <w:b/>
          <w:bCs/>
        </w:rPr>
        <w:t xml:space="preserve">. </w:t>
      </w:r>
    </w:p>
    <w:p w14:paraId="48A66327" w14:textId="01843D37" w:rsidR="00B769B8" w:rsidRPr="00B769B8" w:rsidRDefault="00B769B8" w:rsidP="00625EE1">
      <w:pPr>
        <w:pStyle w:val="ListParagraph"/>
        <w:numPr>
          <w:ilvl w:val="1"/>
          <w:numId w:val="1"/>
        </w:numPr>
      </w:pPr>
      <w:r>
        <w:rPr>
          <w:i/>
          <w:iCs/>
        </w:rPr>
        <w:t xml:space="preserve">The Panel recommends updating the Title IX statement (found on pages 10 and 11 of the course syllabus), as Kellie Brennan is no longer the Title IX coordinator. The most up-to-date Title IX statement can be found on the ASC Curriculum and Assessment Services website at: </w:t>
      </w:r>
      <w:hyperlink r:id="rId6" w:history="1">
        <w:r w:rsidRPr="00CD5780">
          <w:rPr>
            <w:rStyle w:val="Hyperlink"/>
            <w:i/>
            <w:iCs/>
          </w:rPr>
          <w:t>https://asccas.osu.edu/curriculum/syllabus-elements</w:t>
        </w:r>
      </w:hyperlink>
      <w:r>
        <w:rPr>
          <w:i/>
          <w:iCs/>
        </w:rPr>
        <w:t xml:space="preserve">. </w:t>
      </w:r>
    </w:p>
    <w:p w14:paraId="492D0CBE" w14:textId="0423008D" w:rsidR="00B769B8" w:rsidRPr="00B769B8" w:rsidRDefault="00B769B8" w:rsidP="00625EE1">
      <w:pPr>
        <w:pStyle w:val="ListParagraph"/>
        <w:numPr>
          <w:ilvl w:val="1"/>
          <w:numId w:val="1"/>
        </w:numPr>
      </w:pPr>
      <w:r>
        <w:t xml:space="preserve">Blackburn, Podalsky, </w:t>
      </w:r>
      <w:r>
        <w:rPr>
          <w:b/>
          <w:bCs/>
        </w:rPr>
        <w:t xml:space="preserve">unanimously approved </w:t>
      </w:r>
      <w:r>
        <w:t xml:space="preserve">with </w:t>
      </w:r>
      <w:r>
        <w:rPr>
          <w:b/>
          <w:bCs/>
        </w:rPr>
        <w:t xml:space="preserve">three contingencies </w:t>
      </w:r>
      <w:r>
        <w:t xml:space="preserve">(in bold above) and </w:t>
      </w:r>
      <w:r>
        <w:rPr>
          <w:i/>
          <w:iCs/>
        </w:rPr>
        <w:t xml:space="preserve">one recommendation </w:t>
      </w:r>
      <w:r>
        <w:rPr>
          <w:iCs/>
        </w:rPr>
        <w:t xml:space="preserve">(in italics above) </w:t>
      </w:r>
    </w:p>
    <w:p w14:paraId="4DD8CF3A" w14:textId="57DE76BD" w:rsidR="00B769B8" w:rsidRPr="00B769B8" w:rsidRDefault="00B769B8" w:rsidP="00B769B8">
      <w:pPr>
        <w:pStyle w:val="ListParagraph"/>
        <w:numPr>
          <w:ilvl w:val="0"/>
          <w:numId w:val="1"/>
        </w:numPr>
      </w:pPr>
      <w:r>
        <w:rPr>
          <w:iCs/>
        </w:rPr>
        <w:t xml:space="preserve">Uzbek 3102 (existing course requesting 100% DL) </w:t>
      </w:r>
    </w:p>
    <w:p w14:paraId="0C7E22A1" w14:textId="2D9C87C1" w:rsidR="00B769B8" w:rsidRPr="00316159" w:rsidRDefault="00B769B8" w:rsidP="00B769B8">
      <w:pPr>
        <w:pStyle w:val="ListParagraph"/>
        <w:numPr>
          <w:ilvl w:val="1"/>
          <w:numId w:val="1"/>
        </w:numPr>
      </w:pPr>
      <w:r>
        <w:rPr>
          <w:b/>
          <w:bCs/>
          <w:iCs/>
        </w:rPr>
        <w:t>The Panel asks that the ambiguity surrounding the administration of the course quizzes</w:t>
      </w:r>
      <w:r w:rsidR="00316159">
        <w:rPr>
          <w:b/>
          <w:bCs/>
          <w:iCs/>
        </w:rPr>
        <w:t xml:space="preserve"> and exams</w:t>
      </w:r>
      <w:r>
        <w:rPr>
          <w:b/>
          <w:bCs/>
          <w:iCs/>
        </w:rPr>
        <w:t xml:space="preserve"> be resolved within the course syllabus. </w:t>
      </w:r>
      <w:r w:rsidR="00316159">
        <w:rPr>
          <w:b/>
          <w:bCs/>
          <w:iCs/>
        </w:rPr>
        <w:t>More specifically, they ask that it be explained how students can expect to take the quizzes and exams, if they are open-book/open-note or closed-book/closed-note, how they will be proctored (if necessary), and any other necessary information be placed within the description of assignments on page 6 of the syllabus.</w:t>
      </w:r>
    </w:p>
    <w:p w14:paraId="6910C988" w14:textId="7AC38F17" w:rsidR="00316159" w:rsidRPr="00316159" w:rsidRDefault="00316159" w:rsidP="00B769B8">
      <w:pPr>
        <w:pStyle w:val="ListParagraph"/>
        <w:numPr>
          <w:ilvl w:val="1"/>
          <w:numId w:val="1"/>
        </w:numPr>
      </w:pPr>
      <w:r>
        <w:rPr>
          <w:b/>
          <w:bCs/>
          <w:iCs/>
        </w:rPr>
        <w:t xml:space="preserve">The Panel asks that more information be provided within the course syllabus surrounding the course projects (as discussed on page 6 of the syllabus). What will these projects look like, what are the expectations of students, are they allowed to collaborate with fellow students, etc.? </w:t>
      </w:r>
    </w:p>
    <w:p w14:paraId="3B55718C" w14:textId="38424F4F" w:rsidR="00316159" w:rsidRPr="00316159" w:rsidRDefault="00316159" w:rsidP="00B769B8">
      <w:pPr>
        <w:pStyle w:val="ListParagraph"/>
        <w:numPr>
          <w:ilvl w:val="1"/>
          <w:numId w:val="1"/>
        </w:numPr>
      </w:pPr>
      <w:r>
        <w:rPr>
          <w:iCs/>
        </w:rPr>
        <w:t xml:space="preserve">Koehnlein, Podalsky, </w:t>
      </w:r>
      <w:r>
        <w:rPr>
          <w:b/>
          <w:bCs/>
          <w:iCs/>
        </w:rPr>
        <w:t xml:space="preserve">unanimously approved </w:t>
      </w:r>
      <w:r>
        <w:rPr>
          <w:iCs/>
        </w:rPr>
        <w:t xml:space="preserve">with </w:t>
      </w:r>
      <w:r>
        <w:rPr>
          <w:b/>
          <w:bCs/>
          <w:iCs/>
        </w:rPr>
        <w:t xml:space="preserve">two contingencies </w:t>
      </w:r>
      <w:r>
        <w:rPr>
          <w:iCs/>
        </w:rPr>
        <w:t xml:space="preserve">(in bold above) </w:t>
      </w:r>
    </w:p>
    <w:p w14:paraId="62E967BB" w14:textId="2054C168" w:rsidR="00316159" w:rsidRPr="00316159" w:rsidRDefault="00316159" w:rsidP="00316159">
      <w:pPr>
        <w:pStyle w:val="ListParagraph"/>
        <w:numPr>
          <w:ilvl w:val="0"/>
          <w:numId w:val="1"/>
        </w:numPr>
      </w:pPr>
      <w:r>
        <w:rPr>
          <w:iCs/>
        </w:rPr>
        <w:t xml:space="preserve">Music 6754 (existing course requesting 100% DL) </w:t>
      </w:r>
    </w:p>
    <w:p w14:paraId="6E8C7072" w14:textId="7F687148" w:rsidR="00316159" w:rsidRPr="00316159" w:rsidRDefault="00316159" w:rsidP="00316159">
      <w:pPr>
        <w:pStyle w:val="ListParagraph"/>
        <w:numPr>
          <w:ilvl w:val="1"/>
          <w:numId w:val="1"/>
        </w:numPr>
      </w:pPr>
      <w:r>
        <w:rPr>
          <w:b/>
          <w:bCs/>
          <w:iCs/>
        </w:rPr>
        <w:t xml:space="preserve">The Panel asks that the direct instruction within the course </w:t>
      </w:r>
      <w:r w:rsidR="00E62CF3">
        <w:rPr>
          <w:b/>
          <w:bCs/>
          <w:iCs/>
        </w:rPr>
        <w:t xml:space="preserve">be </w:t>
      </w:r>
      <w:r>
        <w:rPr>
          <w:b/>
          <w:bCs/>
          <w:iCs/>
        </w:rPr>
        <w:t xml:space="preserve">more clearly identified. At present, the Panel is only able to discern the 95 minutes (approximately 1.5 hours) of direct instruction in the form of Wednesday synchronous meetings. As a reminder, for a 3-credit hour, 8-week course, there should be approximately 5.25 hours of direct instruction per week. </w:t>
      </w:r>
    </w:p>
    <w:p w14:paraId="1C7C60D2" w14:textId="341B577D" w:rsidR="00316159" w:rsidRPr="00E90D27" w:rsidRDefault="00316159" w:rsidP="00316159">
      <w:pPr>
        <w:pStyle w:val="ListParagraph"/>
        <w:numPr>
          <w:ilvl w:val="1"/>
          <w:numId w:val="1"/>
        </w:numPr>
      </w:pPr>
      <w:r>
        <w:rPr>
          <w:i/>
        </w:rPr>
        <w:t xml:space="preserve">The Panel recommends removing the ODEE template comments that help guide course instructors through utilizing the distance learning template that appear throughout the entire syllabus. </w:t>
      </w:r>
    </w:p>
    <w:p w14:paraId="17F81D12" w14:textId="5908C8BA" w:rsidR="00E90D27" w:rsidRPr="00E90D27" w:rsidRDefault="00E90D27" w:rsidP="00316159">
      <w:pPr>
        <w:pStyle w:val="ListParagraph"/>
        <w:numPr>
          <w:ilvl w:val="1"/>
          <w:numId w:val="1"/>
        </w:numPr>
      </w:pPr>
      <w:r>
        <w:rPr>
          <w:i/>
        </w:rPr>
        <w:t xml:space="preserve">The Panel recommends clarifying the weekly calendar, as they found it unclear and are unsure if students will be able to know when they have assignments to complete. For example, in weeks 1 and 2, assignment #2 appears to be due twice (in bold). Additionally, assignment #4 appears in </w:t>
      </w:r>
      <w:proofErr w:type="gramStart"/>
      <w:r>
        <w:rPr>
          <w:i/>
        </w:rPr>
        <w:t>both of these</w:t>
      </w:r>
      <w:proofErr w:type="gramEnd"/>
      <w:r>
        <w:rPr>
          <w:i/>
        </w:rPr>
        <w:t xml:space="preserve"> weeks in parentheses. </w:t>
      </w:r>
    </w:p>
    <w:p w14:paraId="41095DBD" w14:textId="42CFA950" w:rsidR="00E90D27" w:rsidRPr="00E90D27" w:rsidRDefault="00E90D27" w:rsidP="00316159">
      <w:pPr>
        <w:pStyle w:val="ListParagraph"/>
        <w:numPr>
          <w:ilvl w:val="1"/>
          <w:numId w:val="1"/>
        </w:numPr>
      </w:pPr>
      <w:r>
        <w:rPr>
          <w:iCs/>
        </w:rPr>
        <w:t xml:space="preserve">Blackburn, Koehnlein, </w:t>
      </w:r>
      <w:r>
        <w:rPr>
          <w:b/>
          <w:bCs/>
          <w:iCs/>
        </w:rPr>
        <w:t xml:space="preserve">unanimously approved </w:t>
      </w:r>
      <w:r>
        <w:rPr>
          <w:iCs/>
        </w:rPr>
        <w:t xml:space="preserve">with </w:t>
      </w:r>
      <w:r>
        <w:rPr>
          <w:b/>
          <w:bCs/>
          <w:iCs/>
        </w:rPr>
        <w:t xml:space="preserve">one contingency </w:t>
      </w:r>
      <w:r>
        <w:rPr>
          <w:iCs/>
        </w:rPr>
        <w:t xml:space="preserve">(in bold above) and </w:t>
      </w:r>
      <w:r>
        <w:rPr>
          <w:i/>
        </w:rPr>
        <w:t xml:space="preserve">two recommendations </w:t>
      </w:r>
      <w:r>
        <w:rPr>
          <w:iCs/>
        </w:rPr>
        <w:t xml:space="preserve">(in italics above) </w:t>
      </w:r>
    </w:p>
    <w:p w14:paraId="339F2DD1" w14:textId="695A3073" w:rsidR="00E90D27" w:rsidRPr="00E90D27" w:rsidRDefault="00E90D27" w:rsidP="00E90D27">
      <w:pPr>
        <w:pStyle w:val="ListParagraph"/>
        <w:numPr>
          <w:ilvl w:val="0"/>
          <w:numId w:val="1"/>
        </w:numPr>
      </w:pPr>
      <w:r>
        <w:rPr>
          <w:iCs/>
        </w:rPr>
        <w:t xml:space="preserve">Music 2121 (new course) </w:t>
      </w:r>
    </w:p>
    <w:p w14:paraId="440195CD" w14:textId="0E780CEB" w:rsidR="00E90D27" w:rsidRPr="00E90D27" w:rsidRDefault="00E90D27" w:rsidP="00E90D27">
      <w:pPr>
        <w:pStyle w:val="ListParagraph"/>
        <w:numPr>
          <w:ilvl w:val="1"/>
          <w:numId w:val="1"/>
        </w:numPr>
      </w:pPr>
      <w:r>
        <w:rPr>
          <w:iCs/>
        </w:rPr>
        <w:t xml:space="preserve">Koehnlein, Blackburn, </w:t>
      </w:r>
      <w:r>
        <w:rPr>
          <w:b/>
          <w:bCs/>
          <w:iCs/>
        </w:rPr>
        <w:t xml:space="preserve">unanimously approved </w:t>
      </w:r>
    </w:p>
    <w:p w14:paraId="2E944101" w14:textId="4E1FFA5F" w:rsidR="00E90D27" w:rsidRPr="00E90D27" w:rsidRDefault="00E90D27" w:rsidP="00E90D27">
      <w:pPr>
        <w:pStyle w:val="ListParagraph"/>
        <w:numPr>
          <w:ilvl w:val="0"/>
          <w:numId w:val="1"/>
        </w:numPr>
      </w:pPr>
      <w:r>
        <w:rPr>
          <w:iCs/>
        </w:rPr>
        <w:t xml:space="preserve">Art Education 2250 (existing course requesting 100% DL) </w:t>
      </w:r>
    </w:p>
    <w:p w14:paraId="3BD4E880" w14:textId="67DB0252" w:rsidR="00E90D27" w:rsidRPr="00625EE1" w:rsidRDefault="00E90D27" w:rsidP="00E90D27">
      <w:pPr>
        <w:pStyle w:val="ListParagraph"/>
        <w:numPr>
          <w:ilvl w:val="1"/>
          <w:numId w:val="1"/>
        </w:numPr>
      </w:pPr>
      <w:r>
        <w:rPr>
          <w:iCs/>
        </w:rPr>
        <w:lastRenderedPageBreak/>
        <w:t xml:space="preserve">Blackburn, Podalsky, </w:t>
      </w:r>
      <w:r>
        <w:rPr>
          <w:b/>
          <w:bCs/>
          <w:iCs/>
        </w:rPr>
        <w:t xml:space="preserve">unanimously approved </w:t>
      </w:r>
    </w:p>
    <w:sectPr w:rsidR="00E90D27" w:rsidRPr="00625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7306A"/>
    <w:multiLevelType w:val="hybridMultilevel"/>
    <w:tmpl w:val="0FEC21F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265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E1"/>
    <w:rsid w:val="002977A5"/>
    <w:rsid w:val="00316159"/>
    <w:rsid w:val="00366044"/>
    <w:rsid w:val="005D257C"/>
    <w:rsid w:val="00625EE1"/>
    <w:rsid w:val="00865D2C"/>
    <w:rsid w:val="00B300E8"/>
    <w:rsid w:val="00B769B8"/>
    <w:rsid w:val="00B910C3"/>
    <w:rsid w:val="00DB6986"/>
    <w:rsid w:val="00E62CF3"/>
    <w:rsid w:val="00E9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809C"/>
  <w15:chartTrackingRefBased/>
  <w15:docId w15:val="{04FBBE94-444A-4F86-847B-A6B4C55D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E1"/>
    <w:pPr>
      <w:ind w:left="720"/>
      <w:contextualSpacing/>
    </w:pPr>
  </w:style>
  <w:style w:type="character" w:styleId="Hyperlink">
    <w:name w:val="Hyperlink"/>
    <w:basedOn w:val="DefaultParagraphFont"/>
    <w:uiPriority w:val="99"/>
    <w:unhideWhenUsed/>
    <w:rsid w:val="00B769B8"/>
    <w:rPr>
      <w:color w:val="0563C1" w:themeColor="hyperlink"/>
      <w:u w:val="single"/>
    </w:rPr>
  </w:style>
  <w:style w:type="character" w:styleId="UnresolvedMention">
    <w:name w:val="Unresolved Mention"/>
    <w:basedOn w:val="DefaultParagraphFont"/>
    <w:uiPriority w:val="99"/>
    <w:semiHidden/>
    <w:unhideWhenUsed/>
    <w:rsid w:val="00B769B8"/>
    <w:rPr>
      <w:color w:val="605E5C"/>
      <w:shd w:val="clear" w:color="auto" w:fill="E1DFDD"/>
    </w:rPr>
  </w:style>
  <w:style w:type="paragraph" w:styleId="Revision">
    <w:name w:val="Revision"/>
    <w:hidden/>
    <w:uiPriority w:val="99"/>
    <w:semiHidden/>
    <w:rsid w:val="00E62CF3"/>
    <w:pPr>
      <w:spacing w:after="0" w:line="240" w:lineRule="auto"/>
    </w:pPr>
  </w:style>
  <w:style w:type="character" w:styleId="CommentReference">
    <w:name w:val="annotation reference"/>
    <w:basedOn w:val="DefaultParagraphFont"/>
    <w:uiPriority w:val="99"/>
    <w:semiHidden/>
    <w:unhideWhenUsed/>
    <w:rsid w:val="00E62CF3"/>
    <w:rPr>
      <w:sz w:val="16"/>
      <w:szCs w:val="16"/>
    </w:rPr>
  </w:style>
  <w:style w:type="paragraph" w:styleId="CommentText">
    <w:name w:val="annotation text"/>
    <w:basedOn w:val="Normal"/>
    <w:link w:val="CommentTextChar"/>
    <w:uiPriority w:val="99"/>
    <w:unhideWhenUsed/>
    <w:rsid w:val="00E62CF3"/>
    <w:pPr>
      <w:spacing w:line="240" w:lineRule="auto"/>
    </w:pPr>
    <w:rPr>
      <w:sz w:val="20"/>
      <w:szCs w:val="20"/>
    </w:rPr>
  </w:style>
  <w:style w:type="character" w:customStyle="1" w:styleId="CommentTextChar">
    <w:name w:val="Comment Text Char"/>
    <w:basedOn w:val="DefaultParagraphFont"/>
    <w:link w:val="CommentText"/>
    <w:uiPriority w:val="99"/>
    <w:rsid w:val="00E62CF3"/>
    <w:rPr>
      <w:sz w:val="20"/>
      <w:szCs w:val="20"/>
    </w:rPr>
  </w:style>
  <w:style w:type="paragraph" w:styleId="CommentSubject">
    <w:name w:val="annotation subject"/>
    <w:basedOn w:val="CommentText"/>
    <w:next w:val="CommentText"/>
    <w:link w:val="CommentSubjectChar"/>
    <w:uiPriority w:val="99"/>
    <w:semiHidden/>
    <w:unhideWhenUsed/>
    <w:rsid w:val="00E62CF3"/>
    <w:rPr>
      <w:b/>
      <w:bCs/>
    </w:rPr>
  </w:style>
  <w:style w:type="character" w:customStyle="1" w:styleId="CommentSubjectChar">
    <w:name w:val="Comment Subject Char"/>
    <w:basedOn w:val="CommentTextChar"/>
    <w:link w:val="CommentSubject"/>
    <w:uiPriority w:val="99"/>
    <w:semiHidden/>
    <w:rsid w:val="00E62CF3"/>
    <w:rPr>
      <w:b/>
      <w:bCs/>
      <w:sz w:val="20"/>
      <w:szCs w:val="20"/>
    </w:rPr>
  </w:style>
  <w:style w:type="character" w:styleId="FollowedHyperlink">
    <w:name w:val="FollowedHyperlink"/>
    <w:basedOn w:val="DefaultParagraphFont"/>
    <w:uiPriority w:val="99"/>
    <w:semiHidden/>
    <w:unhideWhenUsed/>
    <w:rsid w:val="00E62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new-general-education-gen-goals-and-el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4892</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2023-02-09T18:01:00Z</dcterms:created>
  <dcterms:modified xsi:type="dcterms:W3CDTF">2023-02-09T18:01:00Z</dcterms:modified>
</cp:coreProperties>
</file>